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C" w:rsidRDefault="007D127C">
      <w:pPr>
        <w:pStyle w:val="normal0"/>
      </w:pPr>
    </w:p>
    <w:p w:rsidR="007D127C" w:rsidRDefault="002034DF">
      <w:pPr>
        <w:pStyle w:val="normal0"/>
      </w:pPr>
      <w:r>
        <w:rPr>
          <w:noProof/>
          <w:lang w:val="es-AR"/>
        </w:rPr>
        <w:drawing>
          <wp:inline distT="114300" distB="114300" distL="114300" distR="114300">
            <wp:extent cx="2857500" cy="1447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127C" w:rsidRDefault="007D127C">
      <w:pPr>
        <w:pStyle w:val="normal0"/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DE BUENOS AIRES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GENERAL DE CULTURA Y EDUCACIÓN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SUPERIOR</w:t>
      </w: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SUPERIOR DE FORMACIÓN DOCENTE Y TÉCNICA N°  46  LA MATANZA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CARREREA</w:t>
      </w:r>
      <w:r w:rsidR="002A5105">
        <w:rPr>
          <w:rFonts w:ascii="Arial" w:eastAsia="Arial" w:hAnsi="Arial" w:cs="Arial"/>
        </w:rPr>
        <w:t>: PROFESORADO</w:t>
      </w:r>
      <w:r>
        <w:rPr>
          <w:rFonts w:ascii="Arial" w:eastAsia="Arial" w:hAnsi="Arial" w:cs="Arial"/>
        </w:rPr>
        <w:t xml:space="preserve"> </w:t>
      </w:r>
      <w:r w:rsidR="002A5105">
        <w:rPr>
          <w:rFonts w:ascii="Arial" w:eastAsia="Arial" w:hAnsi="Arial" w:cs="Arial"/>
        </w:rPr>
        <w:t>DE…</w:t>
      </w:r>
      <w:r w:rsidR="00F50494"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</w:rPr>
        <w:t>………….CON TRAYECTO EN CIENCIAS SOCIALES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ESPACIO CURRICULAR:   </w:t>
      </w:r>
      <w:r w:rsidR="00506B63">
        <w:rPr>
          <w:rFonts w:ascii="Arial" w:eastAsia="Arial" w:hAnsi="Arial" w:cs="Arial"/>
        </w:rPr>
        <w:t>Historia de América S XIX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</w:t>
      </w:r>
      <w:proofErr w:type="gramStart"/>
      <w:r>
        <w:rPr>
          <w:rFonts w:ascii="Arial" w:eastAsia="Arial" w:hAnsi="Arial" w:cs="Arial"/>
        </w:rPr>
        <w:t xml:space="preserve">:  </w:t>
      </w:r>
      <w:r w:rsidR="0071791C"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° AÑO</w:t>
      </w:r>
    </w:p>
    <w:p w:rsidR="007D127C" w:rsidRDefault="00F50494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LECTIVO</w:t>
      </w:r>
      <w:r w:rsidR="002F3CAC">
        <w:rPr>
          <w:rFonts w:ascii="Arial" w:eastAsia="Arial" w:hAnsi="Arial" w:cs="Arial"/>
        </w:rPr>
        <w:t>: 2022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HORAS SEMANALES</w:t>
      </w:r>
      <w:r w:rsidR="002A5105">
        <w:rPr>
          <w:rFonts w:ascii="Arial" w:eastAsia="Arial" w:hAnsi="Arial" w:cs="Arial"/>
        </w:rPr>
        <w:t>: 3</w:t>
      </w:r>
      <w:r>
        <w:rPr>
          <w:rFonts w:ascii="Arial" w:eastAsia="Arial" w:hAnsi="Arial" w:cs="Arial"/>
        </w:rPr>
        <w:t xml:space="preserve"> Módulos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PROFESORA:   </w:t>
      </w:r>
      <w:r w:rsidR="00F50494">
        <w:rPr>
          <w:rFonts w:ascii="Arial" w:eastAsia="Arial" w:hAnsi="Arial" w:cs="Arial"/>
        </w:rPr>
        <w:t>Banegas Elisabeth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AUTORIZADO POR RESOLUCIÓN N°</w:t>
      </w:r>
    </w:p>
    <w:p w:rsidR="007D127C" w:rsidRDefault="007D127C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7D127C" w:rsidRPr="00A3572A" w:rsidRDefault="002034DF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i/>
          <w:sz w:val="20"/>
          <w:szCs w:val="20"/>
          <w:u w:val="single"/>
        </w:rPr>
        <w:t>FUNDAMENTACION</w:t>
      </w:r>
    </w:p>
    <w:p w:rsidR="00506B63" w:rsidRPr="00A3572A" w:rsidRDefault="00506B63" w:rsidP="000915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3572A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DC60F1" w:rsidRPr="00A3572A" w:rsidRDefault="00DC60F1" w:rsidP="000915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C60F1" w:rsidRPr="00A3572A" w:rsidRDefault="00DC60F1" w:rsidP="00DC60F1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   La presente propuesta curricular destinada  al tercer año de la carrera del Profesorado en Historia continúa con la secuencia de contenidos de la cátedra de Historia Americana y Argentina I de segundo año de la carrera la cual analiza la crisis colonial americana y los consiguientes procesos independentistas. Y también articula para una formación histórica integral de los alumnos con las cátedras de Historia Argentina del siglo XIX e Historia Mundial del siglo XIX del tercer año de la carrera.</w:t>
      </w:r>
    </w:p>
    <w:p w:rsidR="00DC60F1" w:rsidRPr="00A3572A" w:rsidRDefault="00DC60F1" w:rsidP="00DC60F1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    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 xml:space="preserve">Me propongo </w:t>
      </w:r>
      <w:r w:rsidRPr="00A3572A">
        <w:rPr>
          <w:rFonts w:ascii="Arial" w:hAnsi="Arial" w:cs="Arial"/>
          <w:color w:val="333333"/>
          <w:sz w:val="20"/>
          <w:szCs w:val="20"/>
        </w:rPr>
        <w:t>brindar herramientas teóricas, pedagógicas y didácticas que le permitan al estudiante  reflexionar y conocer los diversos aportes historiográficos de la Historia Americana del siglo XIX sobre los procesos sociales, políticos y económicos que dieron forma al nacimiento y consolidación a las diferentes repúblicas de nuestro continente y especialmente a las latinoamericanas.</w:t>
      </w:r>
    </w:p>
    <w:p w:rsidR="00DC60F1" w:rsidRPr="00A3572A" w:rsidRDefault="00506B63" w:rsidP="00506B63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 xml:space="preserve">      Es por eso que enmarco dichos procesos en </w:t>
      </w:r>
      <w:r w:rsidR="00DC60F1" w:rsidRPr="00A3572A">
        <w:rPr>
          <w:rFonts w:ascii="Arial" w:hAnsi="Arial" w:cs="Arial"/>
          <w:color w:val="333333"/>
          <w:sz w:val="20"/>
          <w:szCs w:val="20"/>
        </w:rPr>
        <w:t xml:space="preserve">diferentes escalas de análisis, es  decir 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mundial, continental, regional y nacional.</w:t>
      </w:r>
    </w:p>
    <w:p w:rsidR="00DC60F1" w:rsidRPr="00A3572A" w:rsidRDefault="00DC60F1" w:rsidP="005F7CAB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 xml:space="preserve">   La cátedra aborda por un lado la crisis del  antiguo régimen colonial y su ruptura a un nuevo orden marcado por las independencias latinoamericanas entre los años 1810 y 1824, prolongando dicha periodización hasta el año 1852 para hacer un balance general de dichos períodos, abordando las rupturas y las continuidades con respecto al antiguo régimen colonial.  Por </w:t>
      </w:r>
      <w:r w:rsidR="005F7CAB" w:rsidRPr="00A3572A">
        <w:rPr>
          <w:rFonts w:ascii="Arial" w:hAnsi="Arial" w:cs="Arial"/>
          <w:color w:val="333333"/>
          <w:sz w:val="20"/>
          <w:szCs w:val="20"/>
        </w:rPr>
        <w:t>otra parte el avance imperialista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inglés y norteamericano sobre Latinoamérica, la empujará a reestructurar  su economía y sus relaciones sociales, lo cual dará  origen a un nuevo pacto colonial como señala Tulio 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>Halperin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>Donghi</w:t>
      </w:r>
      <w:r w:rsidRPr="00A3572A">
        <w:rPr>
          <w:rFonts w:ascii="Arial" w:hAnsi="Arial" w:cs="Arial"/>
          <w:color w:val="333333"/>
          <w:sz w:val="20"/>
          <w:szCs w:val="20"/>
        </w:rPr>
        <w:t>, proceso que empujará a  América Latina a su transición hacia al capitalismo durante el siglo XIX.</w:t>
      </w:r>
    </w:p>
    <w:p w:rsidR="00466953" w:rsidRPr="00A3572A" w:rsidRDefault="005F7CAB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lastRenderedPageBreak/>
        <w:t xml:space="preserve">     Se abordará desde herramientas teóricas y metodológicas provenientes de la historia social </w:t>
      </w:r>
      <w:r w:rsidR="007B18FB" w:rsidRPr="00A3572A">
        <w:rPr>
          <w:rFonts w:ascii="Arial" w:hAnsi="Arial" w:cs="Arial"/>
          <w:sz w:val="20"/>
          <w:szCs w:val="20"/>
        </w:rPr>
        <w:t xml:space="preserve">para dar cuenta de la singularidad de los países </w:t>
      </w:r>
      <w:r w:rsidRPr="00A3572A">
        <w:rPr>
          <w:rFonts w:ascii="Arial" w:hAnsi="Arial" w:cs="Arial"/>
          <w:sz w:val="20"/>
          <w:szCs w:val="20"/>
        </w:rPr>
        <w:t xml:space="preserve">americanos </w:t>
      </w:r>
      <w:r w:rsidR="007B18FB" w:rsidRPr="00A3572A">
        <w:rPr>
          <w:rFonts w:ascii="Arial" w:hAnsi="Arial" w:cs="Arial"/>
          <w:sz w:val="20"/>
          <w:szCs w:val="20"/>
        </w:rPr>
        <w:t>en relación con el proceso histórico europeo. Esas herramientas nos permiten detener</w:t>
      </w:r>
      <w:r w:rsidRPr="00A3572A">
        <w:rPr>
          <w:rFonts w:ascii="Arial" w:hAnsi="Arial" w:cs="Arial"/>
          <w:sz w:val="20"/>
          <w:szCs w:val="20"/>
        </w:rPr>
        <w:t xml:space="preserve">nos </w:t>
      </w:r>
      <w:r w:rsidR="007B18FB" w:rsidRPr="00A3572A">
        <w:rPr>
          <w:rFonts w:ascii="Arial" w:hAnsi="Arial" w:cs="Arial"/>
          <w:sz w:val="20"/>
          <w:szCs w:val="20"/>
        </w:rPr>
        <w:t xml:space="preserve"> en la reformulación del lazo colonial ocurrida a mediados del siglo XIX con el ingreso en la modernidad de los países latinoamericanos y su transformación en estados nacionales con particulares sistemas políticos. Asimismo, mediante esas herramientas situaremos el espacio</w:t>
      </w:r>
      <w:r w:rsidR="00A3572A" w:rsidRPr="00A3572A">
        <w:rPr>
          <w:rFonts w:ascii="Arial" w:hAnsi="Arial" w:cs="Arial"/>
          <w:sz w:val="20"/>
          <w:szCs w:val="20"/>
        </w:rPr>
        <w:t xml:space="preserve"> americano</w:t>
      </w:r>
      <w:r w:rsidR="007B18FB" w:rsidRPr="00A3572A">
        <w:rPr>
          <w:rFonts w:ascii="Arial" w:hAnsi="Arial" w:cs="Arial"/>
          <w:sz w:val="20"/>
          <w:szCs w:val="20"/>
        </w:rPr>
        <w:t xml:space="preserve"> dentro de la expansión del sistema capitalista </w:t>
      </w:r>
      <w:r w:rsidR="00A3572A" w:rsidRPr="00A3572A">
        <w:rPr>
          <w:rFonts w:ascii="Arial" w:hAnsi="Arial" w:cs="Arial"/>
          <w:sz w:val="20"/>
          <w:szCs w:val="20"/>
        </w:rPr>
        <w:t>mundial.</w:t>
      </w:r>
    </w:p>
    <w:p w:rsidR="00FA7613" w:rsidRPr="00A3572A" w:rsidRDefault="00FA7613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La historia social asume la tarea de establecer las articulaciones entre la historia política, económica</w:t>
      </w:r>
      <w:r w:rsidR="00A3572A" w:rsidRPr="00A3572A">
        <w:rPr>
          <w:rFonts w:ascii="Arial" w:hAnsi="Arial" w:cs="Arial"/>
          <w:sz w:val="20"/>
          <w:szCs w:val="20"/>
        </w:rPr>
        <w:t xml:space="preserve">, cultural, de las ideas, etc. Es decir que </w:t>
      </w:r>
      <w:r w:rsidRPr="00A3572A">
        <w:rPr>
          <w:rFonts w:ascii="Arial" w:hAnsi="Arial" w:cs="Arial"/>
          <w:sz w:val="20"/>
          <w:szCs w:val="20"/>
        </w:rPr>
        <w:t>remite a una visión integradora.</w:t>
      </w:r>
    </w:p>
    <w:p w:rsidR="00A3572A" w:rsidRPr="00A3572A" w:rsidRDefault="00A3572A">
      <w:pPr>
        <w:pStyle w:val="normal0"/>
        <w:rPr>
          <w:rFonts w:ascii="Arial" w:hAnsi="Arial" w:cs="Arial"/>
          <w:color w:val="424242"/>
          <w:sz w:val="20"/>
          <w:szCs w:val="20"/>
          <w:shd w:val="clear" w:color="auto" w:fill="F8F7F2"/>
        </w:rPr>
      </w:pP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A52D61" w:rsidRPr="00A3572A" w:rsidRDefault="00A52D61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OBJETIVOS </w:t>
      </w:r>
    </w:p>
    <w:p w:rsidR="00A52D61" w:rsidRPr="00A3572A" w:rsidRDefault="00A52D61">
      <w:pPr>
        <w:pStyle w:val="normal0"/>
        <w:rPr>
          <w:rFonts w:ascii="Arial" w:eastAsia="Arial" w:hAnsi="Arial" w:cs="Arial"/>
          <w:sz w:val="20"/>
          <w:szCs w:val="20"/>
        </w:rPr>
      </w:pP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Vincular la historia de América con el contexto extra-continental</w:t>
      </w: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Identificar diversas especificaciones de la Historia de América</w:t>
      </w: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Comparar semejanzas y diferencias entre diversos países del continente</w:t>
      </w:r>
    </w:p>
    <w:p w:rsidR="00A52D61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Articular el análisis de problemáticas </w:t>
      </w:r>
      <w:r w:rsidR="003930CB" w:rsidRPr="00A3572A">
        <w:rPr>
          <w:rFonts w:ascii="Arial" w:eastAsia="Arial" w:hAnsi="Arial" w:cs="Arial"/>
          <w:sz w:val="20"/>
          <w:szCs w:val="20"/>
        </w:rPr>
        <w:t>sociales, económicas, políticas y culturales</w:t>
      </w: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A3572A">
        <w:rPr>
          <w:rFonts w:ascii="Arial" w:eastAsia="Arial" w:hAnsi="Arial" w:cs="Arial"/>
          <w:i/>
          <w:sz w:val="20"/>
          <w:szCs w:val="20"/>
          <w:u w:val="single"/>
        </w:rPr>
        <w:t>CONTENIDOS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Unidad 1 </w:t>
      </w:r>
      <w:r w:rsidRPr="00A3572A">
        <w:rPr>
          <w:rFonts w:ascii="Arial" w:eastAsia="Arial" w:hAnsi="Arial" w:cs="Arial"/>
          <w:sz w:val="20"/>
          <w:szCs w:val="20"/>
          <w:u w:val="single"/>
        </w:rPr>
        <w:t>La ruptura del orden colonial en América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Contexto Internacional S XVIII. Las Reformas Borbónicas. Consecuencias políticas, sociales y económicas. Nuevas Ideas.  América Ilustrada: cambio y rebelión.  Raíces de la Independencia  latinoamericana: sublevaciones de Túpac Amarú, Tomás Katari y Túpac Katari. Papel de la mujer. 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proyecto político de Miranda.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Bibliografía: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Funes, Patricia (2008). “América Latina, los nombres del Nuevo Mundo”. Explora América Latina. Ministerio de Educación, Ciencia y tecnología. 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Halperin Donghi, Tulio (2011) Historia Contemporánea de América Latina, cap.1 Bs as. Alianza Editorial </w:t>
      </w:r>
      <w:r w:rsidRPr="00A3572A">
        <w:rPr>
          <w:rFonts w:ascii="Arial" w:hAnsi="Arial" w:cs="Arial"/>
          <w:bCs/>
          <w:color w:val="auto"/>
          <w:sz w:val="20"/>
          <w:szCs w:val="20"/>
        </w:rPr>
        <w:t>Mires, Fernando (1988) La rebelión permanente: Las revoluciones sociales en América Latina  Cap1 México, Siglo XXI Editores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Unidad 2: </w:t>
      </w:r>
      <w:r w:rsidRPr="00A3572A">
        <w:rPr>
          <w:rFonts w:ascii="Arial" w:eastAsia="Arial" w:hAnsi="Arial" w:cs="Arial"/>
          <w:sz w:val="20"/>
          <w:szCs w:val="20"/>
          <w:u w:val="single"/>
        </w:rPr>
        <w:t xml:space="preserve">Los primeros Estados independientes en América 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Contexto Internacional S XVIII. Revolución Francesa y Revolución Industrial. Estados Unidos y Canadá, expansión territorial. Independencia de EEUU: etapas, características.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Independencia de Haití etapas, características.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Consecuencias de las mismas en las colonias hispanoamericanas. Rebeliones en Brasil.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Bibliografía: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Bender, Thomas (2015) Historia de Estados Unidos. Una nación entre naciones. Cap. 2 Bs As Siglo XXI editores.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Glodel Mezilas La revolución haitiana de 1804 y sus impactos políticos sobre América Latina. Estudios de Filosofía Práctica e Historia de las Ideas. Vol. 11/N° 2/ ISSN 1515-7180 Mendoza/ Diciembre 2009 Dossier.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Hobsbawn, Eric (2009). La era de las revoluciones 1789-1848. Cap. 1, 2,3.Bs As Crítica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F2397E" w:rsidRPr="00A3572A" w:rsidRDefault="00F2397E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F50494" w:rsidRPr="00A3572A" w:rsidRDefault="00F50494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Unidad 3</w:t>
      </w:r>
      <w:r w:rsidR="00DB56E9" w:rsidRPr="00A3572A">
        <w:rPr>
          <w:rFonts w:ascii="Arial" w:eastAsia="Arial" w:hAnsi="Arial" w:cs="Arial"/>
          <w:sz w:val="20"/>
          <w:szCs w:val="20"/>
        </w:rPr>
        <w:t xml:space="preserve"> </w:t>
      </w:r>
      <w:r w:rsidR="00437AD7" w:rsidRPr="00A3572A">
        <w:rPr>
          <w:rFonts w:ascii="Arial" w:eastAsia="Arial" w:hAnsi="Arial" w:cs="Arial"/>
          <w:sz w:val="20"/>
          <w:szCs w:val="20"/>
          <w:u w:val="single"/>
        </w:rPr>
        <w:t>Revoluciones y Guerras de Independencia</w:t>
      </w: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Contexto Internacional SX</w:t>
      </w:r>
      <w:r w:rsidR="008002CB" w:rsidRPr="00A3572A">
        <w:rPr>
          <w:rFonts w:ascii="Arial" w:eastAsia="Arial" w:hAnsi="Arial" w:cs="Arial"/>
          <w:sz w:val="20"/>
          <w:szCs w:val="20"/>
        </w:rPr>
        <w:t>IX</w:t>
      </w:r>
      <w:r w:rsidRPr="00A3572A">
        <w:rPr>
          <w:rFonts w:ascii="Arial" w:eastAsia="Arial" w:hAnsi="Arial" w:cs="Arial"/>
          <w:sz w:val="20"/>
          <w:szCs w:val="20"/>
        </w:rPr>
        <w:t xml:space="preserve">. Crisis de la monarquía española. Invasión </w:t>
      </w:r>
      <w:r w:rsidR="00DD2450" w:rsidRPr="00A3572A">
        <w:rPr>
          <w:rFonts w:ascii="Arial" w:eastAsia="Arial" w:hAnsi="Arial" w:cs="Arial"/>
          <w:sz w:val="20"/>
          <w:szCs w:val="20"/>
        </w:rPr>
        <w:t>Napoleónica La Restauración.</w:t>
      </w: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El proceso revolucionario. Similitudes y diferencias regionales. </w:t>
      </w:r>
      <w:r w:rsidR="008002CB" w:rsidRPr="00A3572A">
        <w:rPr>
          <w:rFonts w:ascii="Arial" w:eastAsia="Arial" w:hAnsi="Arial" w:cs="Arial"/>
          <w:sz w:val="20"/>
          <w:szCs w:val="20"/>
        </w:rPr>
        <w:t>Etapas 1810-1815 / 1816-1824</w:t>
      </w:r>
    </w:p>
    <w:p w:rsidR="008002CB" w:rsidRPr="00A3572A" w:rsidRDefault="008002CB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Las guerras de la Independencia.</w:t>
      </w:r>
      <w:r w:rsidR="00DD2450" w:rsidRPr="00A3572A">
        <w:rPr>
          <w:rFonts w:ascii="Arial" w:eastAsia="Arial" w:hAnsi="Arial" w:cs="Arial"/>
          <w:sz w:val="20"/>
          <w:szCs w:val="20"/>
        </w:rPr>
        <w:t xml:space="preserve"> Independencia de México y América Central, Nueva Granada, Chile</w:t>
      </w:r>
      <w:r w:rsidR="00EE26B0" w:rsidRPr="00A3572A">
        <w:rPr>
          <w:rFonts w:ascii="Arial" w:eastAsia="Arial" w:hAnsi="Arial" w:cs="Arial"/>
          <w:sz w:val="20"/>
          <w:szCs w:val="20"/>
        </w:rPr>
        <w:t xml:space="preserve">, </w:t>
      </w:r>
      <w:r w:rsidR="00DD2450" w:rsidRPr="00A3572A">
        <w:rPr>
          <w:rFonts w:ascii="Arial" w:eastAsia="Arial" w:hAnsi="Arial" w:cs="Arial"/>
          <w:sz w:val="20"/>
          <w:szCs w:val="20"/>
        </w:rPr>
        <w:t>Perú</w:t>
      </w:r>
      <w:r w:rsidR="00EE26B0" w:rsidRPr="00A3572A">
        <w:rPr>
          <w:rFonts w:ascii="Arial" w:eastAsia="Arial" w:hAnsi="Arial" w:cs="Arial"/>
          <w:sz w:val="20"/>
          <w:szCs w:val="20"/>
        </w:rPr>
        <w:t xml:space="preserve"> y Bolivia. </w:t>
      </w:r>
      <w:r w:rsidR="00DD2450" w:rsidRPr="00A3572A">
        <w:rPr>
          <w:rFonts w:ascii="Arial" w:eastAsia="Arial" w:hAnsi="Arial" w:cs="Arial"/>
          <w:sz w:val="20"/>
          <w:szCs w:val="20"/>
        </w:rPr>
        <w:t>Plan Continental de Bolívar y San Martín. Independencia de Brasil.</w:t>
      </w:r>
    </w:p>
    <w:p w:rsidR="00F2397E" w:rsidRPr="00A3572A" w:rsidRDefault="00F2397E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FA76E1" w:rsidRPr="00A3572A" w:rsidRDefault="00FA76E1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Bibliografía:</w:t>
      </w:r>
    </w:p>
    <w:p w:rsidR="00FA76E1" w:rsidRPr="00A3572A" w:rsidRDefault="00FA76E1">
      <w:pPr>
        <w:pStyle w:val="normal0"/>
        <w:keepNext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Ansaldi, Waldo y Verónica Giordano (2012), América Latina. La construcción del orden. De la colonia a la disolución de la dominación oligárquica (tomo 1). </w:t>
      </w:r>
      <w:r w:rsidR="00F2397E" w:rsidRPr="00A3572A">
        <w:rPr>
          <w:rFonts w:ascii="Arial" w:hAnsi="Arial" w:cs="Arial"/>
          <w:sz w:val="20"/>
          <w:szCs w:val="20"/>
        </w:rPr>
        <w:t>Cap</w:t>
      </w:r>
      <w:r w:rsidRPr="00A3572A">
        <w:rPr>
          <w:rFonts w:ascii="Arial" w:hAnsi="Arial" w:cs="Arial"/>
          <w:sz w:val="20"/>
          <w:szCs w:val="20"/>
        </w:rPr>
        <w:t>. 3 Buenos Aires: Ariel.</w:t>
      </w:r>
    </w:p>
    <w:p w:rsidR="00DC67EF" w:rsidRPr="00A3572A" w:rsidRDefault="00DC67EF" w:rsidP="00DC67EF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Halperin Donghi</w:t>
      </w:r>
      <w:r w:rsidR="00436B26" w:rsidRPr="00A3572A">
        <w:rPr>
          <w:rFonts w:ascii="Arial" w:eastAsia="Arial" w:hAnsi="Arial" w:cs="Arial"/>
          <w:sz w:val="20"/>
          <w:szCs w:val="20"/>
        </w:rPr>
        <w:t xml:space="preserve">, Tulio (2011) </w:t>
      </w:r>
      <w:r w:rsidRPr="00A3572A">
        <w:rPr>
          <w:rFonts w:ascii="Arial" w:eastAsia="Arial" w:hAnsi="Arial" w:cs="Arial"/>
          <w:sz w:val="20"/>
          <w:szCs w:val="20"/>
        </w:rPr>
        <w:t xml:space="preserve"> Historia Contemporánea de América Latina, cap.2 </w:t>
      </w:r>
      <w:r w:rsidR="00436B26" w:rsidRPr="00A3572A">
        <w:rPr>
          <w:rFonts w:ascii="Arial" w:eastAsia="Arial" w:hAnsi="Arial" w:cs="Arial"/>
          <w:sz w:val="20"/>
          <w:szCs w:val="20"/>
        </w:rPr>
        <w:t xml:space="preserve"> Bs As </w:t>
      </w:r>
      <w:r w:rsidRPr="00A3572A">
        <w:rPr>
          <w:rFonts w:ascii="Arial" w:eastAsia="Arial" w:hAnsi="Arial" w:cs="Arial"/>
          <w:sz w:val="20"/>
          <w:szCs w:val="20"/>
        </w:rPr>
        <w:t xml:space="preserve">Alianza Editorial </w:t>
      </w:r>
    </w:p>
    <w:p w:rsidR="00F2397E" w:rsidRPr="00A3572A" w:rsidRDefault="00F2397E" w:rsidP="00F2397E">
      <w:pPr>
        <w:pStyle w:val="Ttulo3"/>
        <w:shd w:val="clear" w:color="auto" w:fill="FFFFFF"/>
        <w:spacing w:before="0" w:after="60" w:line="324" w:lineRule="atLeast"/>
        <w:ind w:right="240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A3572A">
        <w:rPr>
          <w:rFonts w:ascii="Arial" w:hAnsi="Arial" w:cs="Arial"/>
          <w:b w:val="0"/>
          <w:bCs/>
          <w:color w:val="auto"/>
          <w:sz w:val="20"/>
          <w:szCs w:val="20"/>
        </w:rPr>
        <w:t>Mires, Fernando (1988) La rebelión permanente: Las revoluciones sociales en América Latina, Cap2 México, Siglo XXI Editores</w:t>
      </w:r>
    </w:p>
    <w:p w:rsidR="00813D4D" w:rsidRPr="00A3572A" w:rsidRDefault="00DB2EE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Leslie Bethell, "La independencia de Brasil", en Leslie Bethell (ed.</w:t>
      </w:r>
      <w:r w:rsidR="00813D4D" w:rsidRPr="00A3572A">
        <w:rPr>
          <w:rFonts w:ascii="Arial" w:hAnsi="Arial" w:cs="Arial"/>
          <w:sz w:val="20"/>
          <w:szCs w:val="20"/>
        </w:rPr>
        <w:t>) 1991</w:t>
      </w:r>
      <w:r w:rsidRPr="00A3572A">
        <w:rPr>
          <w:rFonts w:ascii="Arial" w:hAnsi="Arial" w:cs="Arial"/>
          <w:sz w:val="20"/>
          <w:szCs w:val="20"/>
        </w:rPr>
        <w:t>, Historia de América Latina, Vol. 5, Barcelona, Crítica</w:t>
      </w:r>
      <w:r w:rsidR="00813D4D" w:rsidRPr="00A3572A">
        <w:rPr>
          <w:rFonts w:ascii="Arial" w:hAnsi="Arial" w:cs="Arial"/>
          <w:sz w:val="20"/>
          <w:szCs w:val="20"/>
        </w:rPr>
        <w:t>.</w:t>
      </w:r>
    </w:p>
    <w:p w:rsidR="00813D4D" w:rsidRPr="00A3572A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813D4D" w:rsidRPr="00A3572A" w:rsidRDefault="00F5049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Unidad 4</w:t>
      </w:r>
      <w:r w:rsidR="002B2522" w:rsidRPr="00A3572A">
        <w:rPr>
          <w:rFonts w:ascii="Arial" w:eastAsia="Arial" w:hAnsi="Arial" w:cs="Arial"/>
          <w:sz w:val="20"/>
          <w:szCs w:val="20"/>
        </w:rPr>
        <w:t xml:space="preserve"> </w:t>
      </w:r>
      <w:r w:rsidR="002B2522" w:rsidRPr="00A3572A">
        <w:rPr>
          <w:rFonts w:ascii="Arial" w:eastAsia="Arial" w:hAnsi="Arial" w:cs="Arial"/>
          <w:sz w:val="20"/>
          <w:szCs w:val="20"/>
          <w:u w:val="single"/>
        </w:rPr>
        <w:t>Los primeros años de las naciones latinoamericanas</w:t>
      </w:r>
    </w:p>
    <w:p w:rsidR="00813D4D" w:rsidRPr="00A3572A" w:rsidRDefault="002B2522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intento de unión hispanoamericana</w:t>
      </w:r>
      <w:r w:rsidR="002A5B24" w:rsidRPr="00A3572A">
        <w:rPr>
          <w:rFonts w:ascii="Arial" w:eastAsia="Arial" w:hAnsi="Arial" w:cs="Arial"/>
          <w:sz w:val="20"/>
          <w:szCs w:val="20"/>
        </w:rPr>
        <w:t xml:space="preserve"> de Bolívar: el Congreso de Panamá. La doctrina Monroe.</w:t>
      </w:r>
    </w:p>
    <w:p w:rsidR="00813D4D" w:rsidRPr="00A3572A" w:rsidRDefault="002A5B24" w:rsidP="00813D4D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legado de la guerr</w:t>
      </w:r>
      <w:r w:rsidR="00813D4D" w:rsidRPr="00A3572A">
        <w:rPr>
          <w:rFonts w:ascii="Arial" w:eastAsia="Arial" w:hAnsi="Arial" w:cs="Arial"/>
          <w:sz w:val="20"/>
          <w:szCs w:val="20"/>
        </w:rPr>
        <w:t>a. Caudillismo y militarización.</w:t>
      </w:r>
    </w:p>
    <w:p w:rsidR="00813D4D" w:rsidRPr="00A3572A" w:rsidRDefault="002A5B2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Organización política. Centralismo y regionalismo.</w:t>
      </w:r>
    </w:p>
    <w:p w:rsidR="00813D4D" w:rsidRPr="00A3572A" w:rsidRDefault="002A5B24" w:rsidP="00813D4D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Liberales y conservadores.</w:t>
      </w:r>
      <w:r w:rsidR="00813D4D" w:rsidRPr="00A3572A">
        <w:rPr>
          <w:rFonts w:ascii="Arial" w:eastAsia="Arial" w:hAnsi="Arial" w:cs="Arial"/>
          <w:sz w:val="20"/>
          <w:szCs w:val="20"/>
        </w:rPr>
        <w:t xml:space="preserve"> Fin de la esclavitud.</w:t>
      </w:r>
    </w:p>
    <w:p w:rsidR="00813D4D" w:rsidRPr="00A3572A" w:rsidRDefault="002A5B2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Estudio de </w:t>
      </w:r>
      <w:r w:rsidR="00821E55" w:rsidRPr="00A3572A">
        <w:rPr>
          <w:rFonts w:ascii="Arial" w:eastAsia="Arial" w:hAnsi="Arial" w:cs="Arial"/>
          <w:sz w:val="20"/>
          <w:szCs w:val="20"/>
        </w:rPr>
        <w:t>Casos: México, Perú, Brasil, Chile.  Independencia de Cuba.</w:t>
      </w:r>
    </w:p>
    <w:p w:rsidR="00813D4D" w:rsidRPr="00A3572A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813D4D" w:rsidRPr="00A3572A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DC67EF" w:rsidRP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Bibliografía:</w:t>
      </w:r>
    </w:p>
    <w:p w:rsidR="00A3572A" w:rsidRP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813D4D" w:rsidRPr="00A3572A" w:rsidRDefault="00813D4D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Cardoso</w:t>
      </w:r>
      <w:r w:rsidR="0071791C">
        <w:rPr>
          <w:rFonts w:ascii="Arial" w:hAnsi="Arial" w:cs="Arial"/>
          <w:sz w:val="20"/>
          <w:szCs w:val="20"/>
        </w:rPr>
        <w:t xml:space="preserve">, Ciro y Pérez Brignoli, Héctor </w:t>
      </w:r>
      <w:r w:rsidRPr="00A3572A">
        <w:rPr>
          <w:rFonts w:ascii="Arial" w:hAnsi="Arial" w:cs="Arial"/>
          <w:sz w:val="20"/>
          <w:szCs w:val="20"/>
        </w:rPr>
        <w:t>(1987) Historia económica de América Latina, Ed. Crítica, 4a. ed., Barcelona.</w:t>
      </w:r>
    </w:p>
    <w:p w:rsidR="00357C06" w:rsidRPr="00A3572A" w:rsidRDefault="00DB2EE4">
      <w:pPr>
        <w:pStyle w:val="normal0"/>
        <w:keepNext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Carmagnani, </w:t>
      </w:r>
      <w:r w:rsidR="00813D4D" w:rsidRPr="00A3572A">
        <w:rPr>
          <w:rFonts w:ascii="Arial" w:hAnsi="Arial" w:cs="Arial"/>
          <w:sz w:val="20"/>
          <w:szCs w:val="20"/>
        </w:rPr>
        <w:t>Marcello (1998)</w:t>
      </w:r>
      <w:r w:rsidRPr="00A3572A">
        <w:rPr>
          <w:rFonts w:ascii="Arial" w:hAnsi="Arial" w:cs="Arial"/>
          <w:sz w:val="20"/>
          <w:szCs w:val="20"/>
        </w:rPr>
        <w:t>, Estado y Sociedad en América Latina, 1850-1930, Ed. Crítica</w:t>
      </w:r>
      <w:r w:rsidR="00A41DDB"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sz w:val="20"/>
          <w:szCs w:val="20"/>
        </w:rPr>
        <w:t xml:space="preserve">Grijalbo, </w:t>
      </w:r>
    </w:p>
    <w:p w:rsidR="00357C06" w:rsidRPr="00A3572A" w:rsidRDefault="00357C06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Chiaramonte, J. C. (2016). Raíces históricas del Federalismo latinoamericano Buenos Aires: Sudamericana.</w:t>
      </w:r>
    </w:p>
    <w:p w:rsidR="00357C06" w:rsidRPr="00A3572A" w:rsidRDefault="00357C06" w:rsidP="00357C06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Halperin Donghi, Tulio (2011) Historia Contemporánea de América Latina, cap.3  Bs  As Alianza Editorial </w:t>
      </w:r>
    </w:p>
    <w:p w:rsidR="00FC2B8A" w:rsidRDefault="00FC2B8A" w:rsidP="00813D4D">
      <w:pPr>
        <w:pStyle w:val="normal0"/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Oporto, Mario y Quiroga Agustina (2016) “Notas para un pensar periférico desde América Latina” En Octante (N.° 1), pp. 15-22, agosto 2016.</w:t>
      </w:r>
    </w:p>
    <w:p w:rsidR="007E7429" w:rsidRPr="00A3572A" w:rsidRDefault="007E7429" w:rsidP="007E7429">
      <w:pPr>
        <w:pStyle w:val="normal0"/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Zanata, Loris (2012). Historia de América Latina. Buenos Aires: Siglo XXI.</w:t>
      </w:r>
    </w:p>
    <w:p w:rsidR="007E7429" w:rsidRPr="00A3572A" w:rsidRDefault="007E7429" w:rsidP="00813D4D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2A5B24" w:rsidRPr="00A3572A" w:rsidRDefault="002A5B24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7D127C" w:rsidRPr="00A3572A" w:rsidRDefault="00A3572A">
      <w:pPr>
        <w:pStyle w:val="normal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Bibliografía Complementaria </w:t>
      </w:r>
    </w:p>
    <w:p w:rsidR="007D127C" w:rsidRPr="00A3572A" w:rsidRDefault="007D127C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5E1D20" w:rsidRPr="00A3572A" w:rsidRDefault="005E1D20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7B18FB" w:rsidRPr="00A3572A" w:rsidRDefault="005E1D20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Bethell</w:t>
      </w:r>
      <w:r w:rsidR="007E7429">
        <w:rPr>
          <w:rFonts w:ascii="Arial" w:hAnsi="Arial" w:cs="Arial"/>
          <w:sz w:val="20"/>
          <w:szCs w:val="20"/>
        </w:rPr>
        <w:t>, Leslie (Ed.) (1985)</w:t>
      </w:r>
      <w:r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i/>
          <w:iCs/>
          <w:sz w:val="20"/>
          <w:szCs w:val="20"/>
        </w:rPr>
        <w:t>Historia de América Latina</w:t>
      </w:r>
      <w:r w:rsidRPr="00A3572A">
        <w:rPr>
          <w:rFonts w:ascii="Arial" w:hAnsi="Arial" w:cs="Arial"/>
          <w:sz w:val="20"/>
          <w:szCs w:val="20"/>
        </w:rPr>
        <w:t xml:space="preserve">, Editorial Crítica, Barcelona, 1991-2002, tomos 5 a 16. </w:t>
      </w:r>
      <w:r w:rsidR="007E7429">
        <w:rPr>
          <w:rFonts w:ascii="Arial" w:hAnsi="Arial" w:cs="Arial"/>
          <w:sz w:val="20"/>
          <w:szCs w:val="20"/>
        </w:rPr>
        <w:t>Pla, Alberto J</w:t>
      </w:r>
      <w:r w:rsidR="007B18FB" w:rsidRPr="00A3572A">
        <w:rPr>
          <w:rFonts w:ascii="Arial" w:hAnsi="Arial" w:cs="Arial"/>
          <w:sz w:val="20"/>
          <w:szCs w:val="20"/>
        </w:rPr>
        <w:t>:</w:t>
      </w:r>
      <w:r w:rsidR="007E7429">
        <w:rPr>
          <w:rFonts w:ascii="Arial" w:hAnsi="Arial" w:cs="Arial"/>
          <w:sz w:val="20"/>
          <w:szCs w:val="20"/>
        </w:rPr>
        <w:t>(2001)</w:t>
      </w:r>
      <w:r w:rsidR="007B18FB" w:rsidRPr="00A3572A">
        <w:rPr>
          <w:rFonts w:ascii="Arial" w:hAnsi="Arial" w:cs="Arial"/>
          <w:sz w:val="20"/>
          <w:szCs w:val="20"/>
        </w:rPr>
        <w:t xml:space="preserve"> </w:t>
      </w:r>
      <w:r w:rsidR="007B18FB" w:rsidRPr="00A3572A">
        <w:rPr>
          <w:rFonts w:ascii="Arial" w:hAnsi="Arial" w:cs="Arial"/>
          <w:i/>
          <w:iCs/>
          <w:sz w:val="20"/>
          <w:szCs w:val="20"/>
        </w:rPr>
        <w:t>América Latina: mundialización y crisis</w:t>
      </w:r>
      <w:r w:rsidR="007B18FB" w:rsidRPr="00A3572A">
        <w:rPr>
          <w:rFonts w:ascii="Arial" w:hAnsi="Arial" w:cs="Arial"/>
          <w:sz w:val="20"/>
          <w:szCs w:val="20"/>
        </w:rPr>
        <w:t>, Homo Sapiens Ediciones, Rosario</w:t>
      </w:r>
      <w:r w:rsidR="007E7429">
        <w:rPr>
          <w:rFonts w:ascii="Arial" w:hAnsi="Arial" w:cs="Arial"/>
          <w:sz w:val="20"/>
          <w:szCs w:val="20"/>
        </w:rPr>
        <w:t xml:space="preserve"> </w:t>
      </w:r>
    </w:p>
    <w:p w:rsidR="007B18FB" w:rsidRPr="00A3572A" w:rsidRDefault="007B18FB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Rouquié, </w:t>
      </w:r>
      <w:r w:rsidR="007E7429" w:rsidRPr="00A3572A">
        <w:rPr>
          <w:rFonts w:ascii="Arial" w:hAnsi="Arial" w:cs="Arial"/>
          <w:sz w:val="20"/>
          <w:szCs w:val="20"/>
        </w:rPr>
        <w:t>Alain</w:t>
      </w:r>
      <w:r w:rsidR="007E7429">
        <w:rPr>
          <w:rFonts w:ascii="Arial" w:hAnsi="Arial" w:cs="Arial"/>
          <w:sz w:val="20"/>
          <w:szCs w:val="20"/>
        </w:rPr>
        <w:t xml:space="preserve"> (1990)</w:t>
      </w:r>
      <w:r w:rsidRPr="00A3572A">
        <w:rPr>
          <w:rFonts w:ascii="Arial" w:hAnsi="Arial" w:cs="Arial"/>
          <w:sz w:val="20"/>
          <w:szCs w:val="20"/>
        </w:rPr>
        <w:t xml:space="preserve">: </w:t>
      </w:r>
      <w:r w:rsidRPr="00A3572A">
        <w:rPr>
          <w:rFonts w:ascii="Arial" w:hAnsi="Arial" w:cs="Arial"/>
          <w:i/>
          <w:iCs/>
          <w:sz w:val="20"/>
          <w:szCs w:val="20"/>
        </w:rPr>
        <w:t>Extremo occidente. Introducción a América Latina</w:t>
      </w:r>
      <w:r w:rsidR="007E7429">
        <w:rPr>
          <w:rFonts w:ascii="Arial" w:hAnsi="Arial" w:cs="Arial"/>
          <w:sz w:val="20"/>
          <w:szCs w:val="20"/>
        </w:rPr>
        <w:t>, Emecé, Buenos Aires, 1990</w:t>
      </w:r>
    </w:p>
    <w:p w:rsidR="007B18FB" w:rsidRPr="00A3572A" w:rsidRDefault="007B18FB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Skidmore, Thomas y Smith, Peter:</w:t>
      </w:r>
      <w:r w:rsidR="007E7429">
        <w:rPr>
          <w:rFonts w:ascii="Arial" w:hAnsi="Arial" w:cs="Arial"/>
          <w:sz w:val="20"/>
          <w:szCs w:val="20"/>
        </w:rPr>
        <w:t>(1996)</w:t>
      </w:r>
      <w:r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i/>
          <w:iCs/>
          <w:sz w:val="20"/>
          <w:szCs w:val="20"/>
        </w:rPr>
        <w:t>Historia Contemporánea de América Latina. América Latina en el siglo XX</w:t>
      </w:r>
      <w:r w:rsidRPr="00A3572A">
        <w:rPr>
          <w:rFonts w:ascii="Arial" w:hAnsi="Arial" w:cs="Arial"/>
          <w:sz w:val="20"/>
          <w:szCs w:val="20"/>
        </w:rPr>
        <w:t>, Crítica, Barcelona</w:t>
      </w:r>
    </w:p>
    <w:p w:rsidR="00EE11B8" w:rsidRPr="00A3572A" w:rsidRDefault="00EE11B8" w:rsidP="00EE11B8">
      <w:pPr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</w:p>
    <w:p w:rsidR="00EE11B8" w:rsidRDefault="007D1364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  <w:u w:val="single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Propuesta evaluativa:</w:t>
      </w:r>
    </w:p>
    <w:p w:rsidR="007D1364" w:rsidRPr="00A3572A" w:rsidRDefault="007D1364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EE11B8" w:rsidRPr="00A3572A" w:rsidRDefault="007D1364" w:rsidP="00EE11B8">
      <w:pPr>
        <w:shd w:val="clear" w:color="auto" w:fill="FFFFFF"/>
        <w:ind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</w:t>
      </w:r>
      <w:r w:rsidR="00EE11B8" w:rsidRPr="00A3572A">
        <w:rPr>
          <w:rFonts w:ascii="Arial" w:hAnsi="Arial" w:cs="Arial"/>
          <w:color w:val="333333"/>
          <w:sz w:val="20"/>
          <w:szCs w:val="20"/>
        </w:rPr>
        <w:t>  </w:t>
      </w:r>
      <w:r>
        <w:rPr>
          <w:rFonts w:ascii="Arial" w:hAnsi="Arial" w:cs="Arial"/>
          <w:color w:val="333333"/>
          <w:sz w:val="20"/>
          <w:szCs w:val="20"/>
        </w:rPr>
        <w:t xml:space="preserve">  </w:t>
      </w:r>
      <w:r w:rsidR="00EE11B8" w:rsidRPr="00A3572A">
        <w:rPr>
          <w:rFonts w:ascii="Arial" w:hAnsi="Arial" w:cs="Arial"/>
          <w:color w:val="333333"/>
          <w:sz w:val="20"/>
          <w:szCs w:val="20"/>
        </w:rPr>
        <w:t>El alumno como lo sostiene el Régimen Académico de los Institutos Superiores deberá tener como mínimo el 60% de asistencia a clases.</w:t>
      </w:r>
    </w:p>
    <w:p w:rsidR="00EE11B8" w:rsidRPr="00A3572A" w:rsidRDefault="007D1364" w:rsidP="00EE11B8">
      <w:pPr>
        <w:shd w:val="clear" w:color="auto" w:fill="FFFFFF"/>
        <w:ind w:hanging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</w:t>
      </w:r>
      <w:r w:rsidR="00EE11B8" w:rsidRPr="00A3572A">
        <w:rPr>
          <w:rFonts w:ascii="Arial" w:hAnsi="Arial" w:cs="Arial"/>
          <w:color w:val="333333"/>
          <w:sz w:val="20"/>
          <w:szCs w:val="20"/>
        </w:rPr>
        <w:t> Aprobación de</w:t>
      </w:r>
      <w:r>
        <w:rPr>
          <w:rFonts w:ascii="Arial" w:hAnsi="Arial" w:cs="Arial"/>
          <w:color w:val="333333"/>
          <w:sz w:val="20"/>
          <w:szCs w:val="20"/>
        </w:rPr>
        <w:t xml:space="preserve"> las 2</w:t>
      </w:r>
      <w:r w:rsidR="00EE11B8" w:rsidRPr="00A3572A">
        <w:rPr>
          <w:rFonts w:ascii="Arial" w:hAnsi="Arial" w:cs="Arial"/>
          <w:color w:val="333333"/>
          <w:sz w:val="20"/>
          <w:szCs w:val="20"/>
        </w:rPr>
        <w:t xml:space="preserve"> instancias de evaluación previstas con nota mínima de 4 (cuatro), para acceder a la instancia de acreditación con examen final.</w:t>
      </w:r>
    </w:p>
    <w:p w:rsidR="00EE11B8" w:rsidRPr="00A3572A" w:rsidRDefault="00EE11B8" w:rsidP="007D1364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Los porcentajes de asistencia requeridos anteriormente podrán ser reducidos si el CAI considera justificadas las inasistencias por razones de salud, laborales y/o socioeconómicas. En estos casos el estudiante deberá cumplimentar las actividades que indique el docente para regularizar su situación académica.</w:t>
      </w:r>
    </w:p>
    <w:p w:rsidR="00EE11B8" w:rsidRPr="00A3572A" w:rsidRDefault="00EE11B8" w:rsidP="00EE11B8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</w:p>
    <w:p w:rsidR="00EE11B8" w:rsidRPr="00A3572A" w:rsidRDefault="00EE11B8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EE11B8" w:rsidRPr="00A3572A" w:rsidRDefault="00EE11B8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EE11B8" w:rsidRDefault="007D1364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Durante el presente ciclo lectivo habrá una instancia evaluativa en cada cuatrimestre, las que tendrán carácter individual, presencial y escrita. Cada una de ellas integrará los contenidos trabajados previamente en clases.</w:t>
      </w:r>
    </w:p>
    <w:p w:rsidR="00EE11B8" w:rsidRDefault="007D1364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 contempla el recupe</w:t>
      </w:r>
      <w:r w:rsidR="0071791C">
        <w:rPr>
          <w:rFonts w:ascii="Arial" w:hAnsi="Arial" w:cs="Arial"/>
          <w:color w:val="333333"/>
          <w:sz w:val="20"/>
          <w:szCs w:val="20"/>
        </w:rPr>
        <w:t>ratorio de una</w:t>
      </w:r>
      <w:r>
        <w:rPr>
          <w:rFonts w:ascii="Arial" w:hAnsi="Arial" w:cs="Arial"/>
          <w:color w:val="333333"/>
          <w:sz w:val="20"/>
          <w:szCs w:val="20"/>
        </w:rPr>
        <w:t xml:space="preserve"> de las dos instancias evaluativas.</w:t>
      </w:r>
    </w:p>
    <w:p w:rsidR="00EE11B8" w:rsidRPr="00A3572A" w:rsidRDefault="007E7429" w:rsidP="007E742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Luego de aprobada la cursada el estudiante realizará un examen integrador oral en las fechas correspondientes para lograr la acreditación.</w:t>
      </w:r>
    </w:p>
    <w:p w:rsidR="00EE11B8" w:rsidRPr="00A3572A" w:rsidRDefault="00EE11B8" w:rsidP="00EE11B8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 xml:space="preserve">    La cátedra entiende la evaluación como un instrumento de aprendizaje, constante y diario. Estimulando la </w:t>
      </w:r>
      <w:r w:rsidR="007E7429">
        <w:rPr>
          <w:rFonts w:ascii="Arial" w:hAnsi="Arial" w:cs="Arial"/>
          <w:color w:val="333333"/>
          <w:sz w:val="20"/>
          <w:szCs w:val="20"/>
        </w:rPr>
        <w:t xml:space="preserve">buena expresión oral y escrita. </w:t>
      </w:r>
    </w:p>
    <w:p w:rsidR="00EE11B8" w:rsidRPr="00A3572A" w:rsidRDefault="00EE11B8" w:rsidP="007E7429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 </w:t>
      </w:r>
    </w:p>
    <w:p w:rsidR="005E1D20" w:rsidRPr="00A3572A" w:rsidRDefault="005E1D20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sectPr w:rsidR="005E1D20" w:rsidRPr="00A3572A" w:rsidSect="007D127C">
      <w:footerReference w:type="even" r:id="rId8"/>
      <w:footerReference w:type="default" r:id="rId9"/>
      <w:pgSz w:w="11907" w:h="16840"/>
      <w:pgMar w:top="851" w:right="1134" w:bottom="166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93" w:rsidRDefault="00B66D93" w:rsidP="007D127C">
      <w:r>
        <w:separator/>
      </w:r>
    </w:p>
  </w:endnote>
  <w:endnote w:type="continuationSeparator" w:id="0">
    <w:p w:rsidR="00B66D93" w:rsidRDefault="00B66D93" w:rsidP="007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E119A1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E119A1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separate"/>
    </w:r>
    <w:r w:rsidR="002F3CAC">
      <w:rPr>
        <w:noProof/>
      </w:rPr>
      <w:t>2</w: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93" w:rsidRDefault="00B66D93" w:rsidP="007D127C">
      <w:r>
        <w:separator/>
      </w:r>
    </w:p>
  </w:footnote>
  <w:footnote w:type="continuationSeparator" w:id="0">
    <w:p w:rsidR="00B66D93" w:rsidRDefault="00B66D93" w:rsidP="007D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7A8"/>
    <w:multiLevelType w:val="hybridMultilevel"/>
    <w:tmpl w:val="A8703DC6"/>
    <w:lvl w:ilvl="0" w:tplc="CFEAD748">
      <w:start w:val="1988"/>
      <w:numFmt w:val="bullet"/>
      <w:lvlText w:val=""/>
      <w:lvlJc w:val="left"/>
      <w:pPr>
        <w:ind w:left="735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7C"/>
    <w:rsid w:val="000915B3"/>
    <w:rsid w:val="000A2FB0"/>
    <w:rsid w:val="00112D1D"/>
    <w:rsid w:val="001E5129"/>
    <w:rsid w:val="00200ED4"/>
    <w:rsid w:val="002034DF"/>
    <w:rsid w:val="00203747"/>
    <w:rsid w:val="00285FF6"/>
    <w:rsid w:val="002A5105"/>
    <w:rsid w:val="002A5B24"/>
    <w:rsid w:val="002B1B04"/>
    <w:rsid w:val="002B2522"/>
    <w:rsid w:val="002F3CAC"/>
    <w:rsid w:val="003537DF"/>
    <w:rsid w:val="00357C06"/>
    <w:rsid w:val="00391A0D"/>
    <w:rsid w:val="003930CB"/>
    <w:rsid w:val="003954E5"/>
    <w:rsid w:val="0041489A"/>
    <w:rsid w:val="00436B26"/>
    <w:rsid w:val="00437AD7"/>
    <w:rsid w:val="00466953"/>
    <w:rsid w:val="004B5480"/>
    <w:rsid w:val="00506B63"/>
    <w:rsid w:val="005B7742"/>
    <w:rsid w:val="005E1D20"/>
    <w:rsid w:val="005F7CAB"/>
    <w:rsid w:val="0063614D"/>
    <w:rsid w:val="00663185"/>
    <w:rsid w:val="0069042D"/>
    <w:rsid w:val="00715907"/>
    <w:rsid w:val="0071791C"/>
    <w:rsid w:val="007461F2"/>
    <w:rsid w:val="00775E8B"/>
    <w:rsid w:val="007B18FB"/>
    <w:rsid w:val="007C08CC"/>
    <w:rsid w:val="007D127C"/>
    <w:rsid w:val="007D1364"/>
    <w:rsid w:val="007E7429"/>
    <w:rsid w:val="008002CB"/>
    <w:rsid w:val="00813D4D"/>
    <w:rsid w:val="00821E55"/>
    <w:rsid w:val="009F2C1C"/>
    <w:rsid w:val="00A3572A"/>
    <w:rsid w:val="00A41DDB"/>
    <w:rsid w:val="00A52D61"/>
    <w:rsid w:val="00A80C6D"/>
    <w:rsid w:val="00B13E97"/>
    <w:rsid w:val="00B40E58"/>
    <w:rsid w:val="00B66D93"/>
    <w:rsid w:val="00C15E2F"/>
    <w:rsid w:val="00C34939"/>
    <w:rsid w:val="00C85EE9"/>
    <w:rsid w:val="00CD3DCD"/>
    <w:rsid w:val="00CF47CE"/>
    <w:rsid w:val="00D3603A"/>
    <w:rsid w:val="00D74C08"/>
    <w:rsid w:val="00DB2EE4"/>
    <w:rsid w:val="00DB56E9"/>
    <w:rsid w:val="00DC60F1"/>
    <w:rsid w:val="00DC67EF"/>
    <w:rsid w:val="00DD2450"/>
    <w:rsid w:val="00E119A1"/>
    <w:rsid w:val="00EE11B8"/>
    <w:rsid w:val="00EE26B0"/>
    <w:rsid w:val="00EF7BB6"/>
    <w:rsid w:val="00F151BC"/>
    <w:rsid w:val="00F2397E"/>
    <w:rsid w:val="00F50494"/>
    <w:rsid w:val="00FA7613"/>
    <w:rsid w:val="00FA76E1"/>
    <w:rsid w:val="00F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E5"/>
  </w:style>
  <w:style w:type="paragraph" w:styleId="Ttulo1">
    <w:name w:val="heading 1"/>
    <w:basedOn w:val="normal0"/>
    <w:next w:val="normal0"/>
    <w:rsid w:val="007D1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D1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D1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D12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D12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D1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D127C"/>
  </w:style>
  <w:style w:type="table" w:customStyle="1" w:styleId="TableNormal">
    <w:name w:val="Table Normal"/>
    <w:rsid w:val="007D1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D127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D1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4D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B2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2EE4"/>
    <w:rPr>
      <w:rFonts w:ascii="Courier New" w:hAnsi="Courier New" w:cs="Courier New"/>
      <w:color w:val="auto"/>
      <w:sz w:val="20"/>
      <w:szCs w:val="20"/>
      <w:lang w:val="es-AR"/>
    </w:rPr>
  </w:style>
  <w:style w:type="paragraph" w:styleId="NormalWeb">
    <w:name w:val="Normal (Web)"/>
    <w:basedOn w:val="Normal"/>
    <w:uiPriority w:val="99"/>
    <w:semiHidden/>
    <w:unhideWhenUsed/>
    <w:rsid w:val="00FA7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2022-05-16T12:51:00Z</dcterms:created>
  <dcterms:modified xsi:type="dcterms:W3CDTF">2022-05-16T12:51:00Z</dcterms:modified>
</cp:coreProperties>
</file>